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E3D06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89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1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8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9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8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9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8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" w:type="dxa"/>
          </w:tcPr>
          <w:p w:rsidR="000E3D06" w:rsidRDefault="000E3D06">
            <w:pPr>
              <w:pStyle w:val="EmptyLayoutCell"/>
            </w:pPr>
          </w:p>
        </w:tc>
      </w:tr>
    </w:tbl>
    <w:p w:rsidR="00416A8C" w:rsidRPr="00416A8C" w:rsidRDefault="00416A8C" w:rsidP="00416A8C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84097E" w:rsidTr="00416A8C">
        <w:tc>
          <w:tcPr>
            <w:tcW w:w="1951" w:type="dxa"/>
            <w:shd w:val="clear" w:color="auto" w:fill="auto"/>
            <w:hideMark/>
          </w:tcPr>
          <w:p w:rsidR="0084097E" w:rsidRPr="00416A8C" w:rsidRDefault="00301D19" w:rsidP="00416A8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84097E" w:rsidRPr="00416A8C" w:rsidRDefault="0084097E" w:rsidP="00416A8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6A8C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4097E" w:rsidRPr="00416A8C" w:rsidRDefault="0084097E" w:rsidP="00416A8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6A8C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4097E" w:rsidRPr="00416A8C" w:rsidRDefault="0084097E" w:rsidP="00416A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16A8C" w:rsidRPr="00416A8C" w:rsidRDefault="00416A8C" w:rsidP="00416A8C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6E6FD5" w:rsidTr="0084097E">
        <w:trPr>
          <w:trHeight w:val="75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94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0E3D0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E3D06" w:rsidRDefault="000E3D06"/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5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13E11" w:rsidTr="0084097E">
        <w:trPr>
          <w:trHeight w:val="373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0E3D06" w:rsidRPr="00013E1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63674" w:rsidRDefault="00763674" w:rsidP="00763674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4097E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0E3D06" w:rsidRPr="00013E11" w:rsidRDefault="00301D19" w:rsidP="00763674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13E11" w:rsidTr="0084097E">
        <w:trPr>
          <w:trHeight w:val="43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373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0E3D0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28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E3D06" w:rsidRDefault="000E3D06"/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F92ABC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 w:rsidRPr="00F92A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Вычислительные системы, сети и телекоммуникации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500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E3D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30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500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E3D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E3D06" w:rsidRDefault="000E3D06"/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393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F92ABC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 w:rsidRPr="00F92A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F92ABC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 w:rsidRPr="00F92AB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F92ABC" w:rsidRDefault="000E3D0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5B4F5F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5B4F5F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5B4F5F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5B4F5F" w:rsidRPr="00F92ABC" w:rsidRDefault="005B4F5F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5B4F5F" w:rsidRPr="001310CD" w:rsidRDefault="005B4F5F" w:rsidP="005B4F5F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F92ABC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5B4F5F" w:rsidRPr="00F92ABC" w:rsidRDefault="005B4F5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0E3D06" w:rsidRPr="00F92ABC" w:rsidRDefault="000E3D0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 w:rsidTr="0084097E">
        <w:trPr>
          <w:trHeight w:val="402"/>
        </w:trPr>
        <w:tc>
          <w:tcPr>
            <w:tcW w:w="46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F92ABC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D5442D" w:rsidRDefault="000E3D06" w:rsidP="0084097E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4097E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E3D06" w:rsidRDefault="000E3D06"/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180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E3D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</w:tbl>
    <w:p w:rsidR="000E3D06" w:rsidRDefault="000E3D0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E3D06">
        <w:trPr>
          <w:trHeight w:val="179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F92ABC" w:rsidTr="006E6FD5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 w:rsidP="00915AC6">
                  <w:pPr>
                    <w:jc w:val="both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6E6FD5">
                    <w:rPr>
                      <w:i/>
                      <w:color w:val="000000"/>
                      <w:sz w:val="28"/>
                      <w:lang w:val="ru-RU"/>
                    </w:rPr>
                    <w:t>Вычислительные системы, сети и телекоммуникации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283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E3D0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E3D06" w:rsidRDefault="000E3D0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E3D06" w:rsidRPr="00F92AB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В. В. Лихачев, канд.</w:t>
                  </w:r>
                  <w:r w:rsidR="00A07ED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07ED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информатики; 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44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E3D06" w:rsidRPr="00F92AB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211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E3D0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 w:rsidP="00915AC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E3D06" w:rsidRDefault="000E3D06"/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F92ABC" w:rsidTr="006E6FD5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Аксенов В.В., д-р физ.-мат. наук, профессор кафедры информатики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103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D5442D" w:rsidRPr="00D5442D" w:rsidTr="006E6FD5">
        <w:trPr>
          <w:trHeight w:val="425"/>
        </w:trPr>
        <w:tc>
          <w:tcPr>
            <w:tcW w:w="47" w:type="dxa"/>
          </w:tcPr>
          <w:p w:rsidR="00D5442D" w:rsidRPr="006E6FD5" w:rsidRDefault="00D5442D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5442D" w:rsidRPr="00553065" w:rsidTr="009B0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442D" w:rsidRPr="00553065" w:rsidRDefault="00D5442D" w:rsidP="00A07EDC">
                  <w:pPr>
                    <w:rPr>
                      <w:lang w:val="ru-RU"/>
                    </w:rPr>
                  </w:pPr>
                  <w:r w:rsidRPr="00553065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A07EDC" w:rsidRPr="006E6FD5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</w:p>
              </w:tc>
            </w:tr>
          </w:tbl>
          <w:p w:rsidR="00D5442D" w:rsidRPr="00553065" w:rsidRDefault="00D5442D" w:rsidP="009B07A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5442D" w:rsidRPr="00D5442D" w:rsidRDefault="00D5442D">
            <w:pPr>
              <w:pStyle w:val="EmptyLayoutCell"/>
              <w:rPr>
                <w:lang w:val="ru-RU"/>
              </w:rPr>
            </w:pPr>
          </w:p>
        </w:tc>
      </w:tr>
      <w:tr w:rsidR="00D5442D" w:rsidTr="006E6FD5">
        <w:trPr>
          <w:trHeight w:val="425"/>
        </w:trPr>
        <w:tc>
          <w:tcPr>
            <w:tcW w:w="47" w:type="dxa"/>
          </w:tcPr>
          <w:p w:rsidR="00D5442D" w:rsidRPr="00D5442D" w:rsidRDefault="00D5442D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5442D" w:rsidRPr="00100467" w:rsidTr="009B0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442D" w:rsidRPr="00100467" w:rsidRDefault="00D5442D" w:rsidP="0084097E">
                  <w:pPr>
                    <w:rPr>
                      <w:lang w:val="ru-RU"/>
                    </w:rPr>
                  </w:pP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4097E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 № 9</w:t>
                  </w:r>
                </w:p>
              </w:tc>
            </w:tr>
          </w:tbl>
          <w:p w:rsidR="00D5442D" w:rsidRPr="00100467" w:rsidRDefault="00D5442D" w:rsidP="009B07A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5442D" w:rsidRDefault="00D5442D">
            <w:pPr>
              <w:pStyle w:val="EmptyLayoutCell"/>
            </w:pPr>
          </w:p>
        </w:tc>
      </w:tr>
      <w:tr w:rsidR="000E3D06">
        <w:trPr>
          <w:trHeight w:val="2474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E3D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</w:tbl>
    <w:p w:rsidR="000E3D06" w:rsidRDefault="000E3D0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"/>
        <w:gridCol w:w="8"/>
        <w:gridCol w:w="1195"/>
        <w:gridCol w:w="7799"/>
        <w:gridCol w:w="844"/>
        <w:gridCol w:w="79"/>
        <w:gridCol w:w="25"/>
        <w:gridCol w:w="6"/>
      </w:tblGrid>
      <w:tr w:rsidR="000E3D06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0E3D06" w:rsidRDefault="000E3D06"/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F92ABC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Вычислительные системы, сети и телекоммуникации является изучение теоретических основ построения и организации вычислительных систем, сетей и телекоммуникаций для построения технического обеспечения информационных систем, формирование профессиональных компетенций в части использования и выбора аппаратно-программной платформы для информационных систем и технологий, формирование профессиональной информационной культуры.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организационно-управленческий, проектный, а именно: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1) изучить современные информационные технологии и виды информационных систем;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2) освоить математические методы для формализации решения прикладных задач;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3) овладеть навыками параметрической настройки вычислительных систем и телекоммуникационных сетей.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103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74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7"/>
              <w:gridCol w:w="2635"/>
              <w:gridCol w:w="4439"/>
            </w:tblGrid>
            <w:tr w:rsidR="000E3D06" w:rsidRPr="00F92AB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ОПК-2.1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виды информационных систем 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формализации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прикладных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задач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0E3D06" w:rsidRDefault="000E3D06"/>
              </w:tc>
            </w:tr>
            <w:tr w:rsidR="000E3D06" w:rsidRPr="00F92AB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рименяет современные информационные технологии  при решении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принципы построения и функционирования информационной системы.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использовать современные информационные технологии и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программные средства, в том числе отечественного производства методы в формализации решения прикладных задач.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ОПК-5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инсталлировать программное и аппаратное обеспечение для информационных и автоматизированных систем;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ОПК-5.1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ыполняет параметрическую настройку информационных и автоматизированных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современное прикладное программное обеспечение, методы его разработки, внедрения и адаптации.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выполнять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параметрическую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настройку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телекоммуникационных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0E3D06" w:rsidRDefault="000E3D06"/>
              </w:tc>
            </w:tr>
            <w:tr w:rsidR="000E3D06" w:rsidRPr="00F92AB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ОПК-5.2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ыполняет инсталляцию программного и аппаратного обеспечения информационных и автоматизированных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современное программное и аппаратное обеспечение информационных и автоматизированных систем.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организовывать управление ресурсами вычислительных систем; осуществлять поддержку функционирования информационных систем с помощью программных средств.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159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141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Информационные системы и технологии, Операционные системы, Компьютерная графика,  Введение в теорию алгоритмов и алгоритмические языки.   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необходимо для последующего освоения дисциплины «Проектирование информационных систем», а также при прохождении практик и выполнении выпускной квалификационной работы.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103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141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57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E6FD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E6FD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51</w:t>
                  </w:r>
                </w:p>
              </w:tc>
            </w:tr>
            <w:tr w:rsidR="000E3D06" w:rsidRPr="00F92A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3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232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E6FD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E6FD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111</w:t>
                  </w:r>
                </w:p>
              </w:tc>
            </w:tr>
            <w:tr w:rsidR="000E3D06" w:rsidRPr="00F92AB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6E6FD5" w:rsidTr="006E6FD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78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013E11" w:rsidRDefault="00013E11">
            <w:pPr>
              <w:rPr>
                <w:lang w:val="ru-RU"/>
              </w:rPr>
            </w:pPr>
          </w:p>
          <w:p w:rsidR="00013E11" w:rsidRPr="00013E11" w:rsidRDefault="00013E1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3"/>
              <w:gridCol w:w="2821"/>
              <w:gridCol w:w="949"/>
              <w:gridCol w:w="793"/>
              <w:gridCol w:w="1396"/>
              <w:gridCol w:w="982"/>
              <w:gridCol w:w="948"/>
              <w:gridCol w:w="1558"/>
            </w:tblGrid>
            <w:tr w:rsidR="006E6FD5" w:rsidRPr="00F92ABC" w:rsidTr="006E6FD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</w:tr>
            <w:tr w:rsidR="000E3D06" w:rsidRPr="00F92AB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6E6FD5" w:rsidRPr="00F92ABC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329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50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2"/>
              <w:gridCol w:w="2811"/>
              <w:gridCol w:w="948"/>
              <w:gridCol w:w="808"/>
              <w:gridCol w:w="1396"/>
              <w:gridCol w:w="981"/>
              <w:gridCol w:w="946"/>
              <w:gridCol w:w="1558"/>
            </w:tblGrid>
            <w:tr w:rsidR="006E6FD5" w:rsidRPr="00F92ABC" w:rsidTr="006E6FD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</w:tr>
            <w:tr w:rsidR="000E3D06" w:rsidRPr="00F92AB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6E6FD5" w:rsidRPr="00F92ABC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3E1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3E1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644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F92ABC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14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0E3D06" w:rsidRPr="00F92AB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1,4,5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0E3D0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</w:t>
                  </w:r>
                  <w:r w:rsidR="005C3813">
                    <w:rPr>
                      <w:color w:val="000000"/>
                      <w:sz w:val="24"/>
                      <w:lang w:val="ru-RU"/>
                    </w:rPr>
                    <w:t>3,</w:t>
                  </w:r>
                  <w:r>
                    <w:rPr>
                      <w:color w:val="000000"/>
                      <w:sz w:val="24"/>
                    </w:rPr>
                    <w:t>4,5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,10,11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2129A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1,5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,6,7,11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0E3D0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1,6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,8,9,10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92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06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F92ABC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13E1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29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rPr>
          <w:trHeight w:val="425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14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996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"/>
              <w:gridCol w:w="23"/>
              <w:gridCol w:w="9641"/>
              <w:gridCol w:w="283"/>
            </w:tblGrid>
            <w:tr w:rsidR="00301D19" w:rsidRPr="00F92ABC" w:rsidTr="00301D19">
              <w:tc>
                <w:tcPr>
                  <w:tcW w:w="22" w:type="dxa"/>
                </w:tcPr>
                <w:p w:rsidR="00301D19" w:rsidRPr="00013E11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:rsidR="00301D19" w:rsidRPr="00013E11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641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6"/>
                  </w:tblGrid>
                  <w:tr w:rsidR="00301D19" w:rsidRPr="00F92ABC" w:rsidTr="004561A5">
                    <w:trPr>
                      <w:trHeight w:val="319"/>
                    </w:trPr>
                    <w:tc>
                      <w:tcPr>
                        <w:tcW w:w="9636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301D19" w:rsidRPr="00604F9D" w:rsidRDefault="00301D19" w:rsidP="00301D19">
                        <w:pPr>
                          <w:jc w:val="center"/>
                          <w:outlineLvl w:val="2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 xml:space="preserve">8.1. </w:t>
                        </w:r>
                        <w:r w:rsidRPr="00301D19"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Основная литература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: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outlineLvl w:val="2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1.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Гудыно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Л.П.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Вычислительные системы, сети и телекоммуникации.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Бакалавриат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Учебное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Л.П.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Гудыно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, 2022. – 190 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2.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Шевченко,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В.П.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Вычислительные системы, сети и телекоммуникации. (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Бакалавриат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). Учебник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В.П. Шевченко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. 2023. – 288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3.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Чекмарев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Ю.В.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Вычислительные системы, сети и телекоммуникации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Ю.В.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Чекмарев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Профобразование, 2024. – 200 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lastRenderedPageBreak/>
                          <w:t>4. Минкин, А.В., Демин, С.А.</w:t>
                        </w:r>
                        <w:r w:rsidRPr="00604F9D">
                          <w:rPr>
                            <w:b/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Вычислительные системы, сети и телекоммуникации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: учебное пособие / А.В. Минкин, С.А. Демин.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Казанский федеральный университет, Издательство «Перо», 2024,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47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5.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Пичковская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С.Ю.,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Титовский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С.Н.,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 Н.В.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Вычислительные системы, сети и телекоммуникации: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учебно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методическое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С.Ю.</w:t>
                        </w:r>
                        <w:r>
                          <w:rPr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Пичковская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С.Н.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Титовский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Н.В.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Титовская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Сибирский федеральный университет, 2024.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 201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301D19" w:rsidRPr="00301D19" w:rsidRDefault="00301D19" w:rsidP="00301D19">
                        <w:pPr>
                          <w:jc w:val="center"/>
                          <w:outlineLvl w:val="2"/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8.2.</w:t>
                        </w:r>
                        <w:r w:rsidRPr="00301D19"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Дополнительная литература:</w:t>
                        </w:r>
                      </w:p>
                      <w:p w:rsidR="00301D19" w:rsidRPr="00301D19" w:rsidRDefault="00301D19" w:rsidP="00301D19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lang w:val="ru-RU" w:eastAsia="ru-RU"/>
                          </w:rPr>
                        </w:pP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6.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Стерлягов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С.П., Козлов, Д.Ю.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Вычислительные системы, сети и телекоммуникации: учебное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С.П.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Стерлягов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Д.Ю. Козлов.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Алтайский государственный университет, 2020. – 150 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7. </w:t>
                        </w:r>
                        <w:proofErr w:type="spellStart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Пятибратов</w:t>
                        </w:r>
                        <w:proofErr w:type="spellEnd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, А.П. 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Вычислительные системы, сети и телекоммуникации: учебное пособие / 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А.П. </w:t>
                        </w:r>
                        <w:proofErr w:type="spellStart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Пятибратов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>, 2022. – 220 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rStyle w:val="a4"/>
                            <w:rFonts w:ascii="Calibri" w:eastAsia="Calibri" w:hAnsi="Calibri"/>
                            <w:b w:val="0"/>
                            <w:lang w:val="ru-RU"/>
                          </w:rPr>
                        </w:pP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8. Дружинин, Д.В. Высокопроизводительные вычисления и облачные технологии / Д.В. Дружинин. </w:t>
                        </w:r>
                        <w:r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–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 Издательство: Томский государственный университет, 2020. – 148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9. Замятина, О.М. Вычислительные системы, сети и телекоммуникации. Моделирование сетей / О.М. Замятина.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Издательство «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Юрайт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», 2020.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159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10. Кузин, А. В. Компьютерные сети: учебное пособие / А.В. Кузин, Д.А. Кузин. 4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е изд.,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перераб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и доп.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Москва: ФОРУМ: ИНФРА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М, 2020.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190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11.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Клашанов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, Ф.К. Вычислительные системы и сети, облачные технологии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:</w:t>
                        </w:r>
                        <w:proofErr w:type="gram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учебно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методическое пособие / Ф.К.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Клашанов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Москва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:</w:t>
                        </w:r>
                        <w:proofErr w:type="gram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МИСИ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МГСУ, ЭБС АСВ, 2020.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40 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c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.</w:t>
                        </w:r>
                      </w:p>
                      <w:p w:rsidR="00301D19" w:rsidRPr="00604F9D" w:rsidRDefault="00301D19" w:rsidP="004561A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01D19" w:rsidRPr="00604F9D" w:rsidRDefault="00301D19" w:rsidP="004561A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301D19" w:rsidRPr="00604F9D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0E3D06" w:rsidRPr="00301D19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272"/>
        </w:trPr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rPr>
          <w:trHeight w:val="425"/>
        </w:trPr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21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F92A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E3D06" w:rsidRPr="00F92A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E3D06" w:rsidRPr="00F92A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koob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E3D06" w:rsidRPr="00F92AB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294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F92ABC" w:rsidTr="006E6FD5">
        <w:trPr>
          <w:trHeight w:val="425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18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6E6FD5" w:rsidRPr="00F92ABC" w:rsidTr="006E6FD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E3D06" w:rsidRPr="00F92AB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E3D06" w:rsidRPr="00F92AB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Windows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Windows Server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27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20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F92ABC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F92A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spacing w:before="200" w:after="200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13E1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E3D06" w:rsidRPr="00013E11" w:rsidRDefault="000E3D06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F92ABC">
        <w:trPr>
          <w:trHeight w:val="1268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</w:tbl>
    <w:p w:rsidR="000E3D06" w:rsidRPr="00013E11" w:rsidRDefault="000E3D06">
      <w:pPr>
        <w:rPr>
          <w:lang w:val="ru-RU"/>
        </w:rPr>
      </w:pPr>
    </w:p>
    <w:sectPr w:rsidR="000E3D06" w:rsidRPr="00013E1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3D" w:rsidRDefault="0070473D">
      <w:r>
        <w:separator/>
      </w:r>
    </w:p>
  </w:endnote>
  <w:endnote w:type="continuationSeparator" w:id="0">
    <w:p w:rsidR="0070473D" w:rsidRDefault="0070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p w:rsidR="000E3D06" w:rsidRDefault="000E3D06">
          <w:pPr>
            <w:pStyle w:val="EmptyLayoutCell"/>
          </w:pPr>
        </w:p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3D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E3D06" w:rsidRDefault="000E3D06"/>
            </w:tc>
          </w:tr>
        </w:tbl>
        <w:p w:rsidR="000E3D06" w:rsidRDefault="000E3D06"/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</w:tbl>
  <w:p w:rsidR="000E3D06" w:rsidRDefault="000E3D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p w:rsidR="000E3D06" w:rsidRDefault="000E3D06">
          <w:pPr>
            <w:pStyle w:val="EmptyLayoutCell"/>
          </w:pPr>
        </w:p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3D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E3D06" w:rsidRDefault="000E3D06"/>
            </w:tc>
          </w:tr>
        </w:tbl>
        <w:p w:rsidR="000E3D06" w:rsidRDefault="000E3D06"/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</w:tbl>
  <w:p w:rsidR="000E3D06" w:rsidRDefault="000E3D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3D" w:rsidRDefault="0070473D">
      <w:r>
        <w:separator/>
      </w:r>
    </w:p>
  </w:footnote>
  <w:footnote w:type="continuationSeparator" w:id="0">
    <w:p w:rsidR="0070473D" w:rsidRDefault="0070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D5"/>
    <w:rsid w:val="00013E11"/>
    <w:rsid w:val="000E3D06"/>
    <w:rsid w:val="00142034"/>
    <w:rsid w:val="002129AB"/>
    <w:rsid w:val="00301D19"/>
    <w:rsid w:val="003E4080"/>
    <w:rsid w:val="00416A8C"/>
    <w:rsid w:val="005B4F5F"/>
    <w:rsid w:val="005C3813"/>
    <w:rsid w:val="00663AFE"/>
    <w:rsid w:val="006E6FD5"/>
    <w:rsid w:val="0070473D"/>
    <w:rsid w:val="00763674"/>
    <w:rsid w:val="008015CB"/>
    <w:rsid w:val="0084097E"/>
    <w:rsid w:val="00915AC6"/>
    <w:rsid w:val="009B07A1"/>
    <w:rsid w:val="00A07EDC"/>
    <w:rsid w:val="00B42E52"/>
    <w:rsid w:val="00C84ECD"/>
    <w:rsid w:val="00D5442D"/>
    <w:rsid w:val="00F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Strong"/>
    <w:uiPriority w:val="22"/>
    <w:qFormat/>
    <w:rsid w:val="00301D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EC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Strong"/>
    <w:uiPriority w:val="22"/>
    <w:qFormat/>
    <w:rsid w:val="00301D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E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6</cp:revision>
  <dcterms:created xsi:type="dcterms:W3CDTF">2025-05-21T09:48:00Z</dcterms:created>
  <dcterms:modified xsi:type="dcterms:W3CDTF">2025-11-12T08:46:00Z</dcterms:modified>
</cp:coreProperties>
</file>